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21" w:rsidRDefault="00E17FD8" w:rsidP="00E17FD8">
      <w:pPr>
        <w:jc w:val="center"/>
        <w:rPr>
          <w:rFonts w:ascii="Verdana" w:hAnsi="Verdana"/>
          <w:sz w:val="28"/>
          <w:szCs w:val="28"/>
        </w:rPr>
      </w:pPr>
      <w:bookmarkStart w:id="0" w:name="_GoBack"/>
      <w:bookmarkEnd w:id="0"/>
      <w:r>
        <w:rPr>
          <w:rFonts w:ascii="Verdana" w:hAnsi="Verdana"/>
          <w:sz w:val="28"/>
          <w:szCs w:val="28"/>
        </w:rPr>
        <w:t>ANEXO</w:t>
      </w:r>
      <w:r w:rsidR="00E26100">
        <w:rPr>
          <w:rFonts w:ascii="Verdana" w:hAnsi="Verdana"/>
          <w:sz w:val="28"/>
          <w:szCs w:val="28"/>
        </w:rPr>
        <w:t xml:space="preserve"> IX</w:t>
      </w:r>
    </w:p>
    <w:p w:rsidR="00E26100" w:rsidRPr="00D47088" w:rsidRDefault="00E26100" w:rsidP="00E26100">
      <w:pPr>
        <w:suppressAutoHyphens/>
        <w:spacing w:beforeLines="120" w:before="288" w:afterLines="120" w:after="288" w:line="240" w:lineRule="auto"/>
        <w:jc w:val="center"/>
        <w:rPr>
          <w:rFonts w:ascii="Verdana" w:eastAsia="Batang" w:hAnsi="Verdana" w:cstheme="minorHAnsi"/>
          <w:kern w:val="1"/>
          <w:sz w:val="20"/>
          <w:szCs w:val="20"/>
          <w:lang w:eastAsia="ar-SA"/>
        </w:rPr>
      </w:pPr>
      <w:r w:rsidRPr="00D47088">
        <w:rPr>
          <w:rFonts w:ascii="Verdana" w:eastAsia="Batang" w:hAnsi="Verdana" w:cstheme="minorHAnsi"/>
          <w:b/>
          <w:bCs/>
          <w:kern w:val="1"/>
          <w:sz w:val="20"/>
          <w:szCs w:val="20"/>
          <w:lang w:eastAsia="ar-SA"/>
        </w:rPr>
        <w:t xml:space="preserve">Instrucciones para la correcta cumplimentación DEUC </w:t>
      </w:r>
    </w:p>
    <w:p w:rsidR="00B25C29" w:rsidRDefault="00B25C29" w:rsidP="00B25C29">
      <w:pPr>
        <w:spacing w:after="0"/>
        <w:rPr>
          <w:rFonts w:ascii="Verdana" w:hAnsi="Verdana"/>
          <w:sz w:val="20"/>
          <w:szCs w:val="20"/>
        </w:rPr>
      </w:pPr>
    </w:p>
    <w:p w:rsidR="004A6AD1" w:rsidRPr="00D47088" w:rsidRDefault="004A6AD1" w:rsidP="004A6AD1">
      <w:pPr>
        <w:suppressAutoHyphens/>
        <w:spacing w:beforeLines="120" w:before="288" w:afterLines="120" w:after="288" w:line="240" w:lineRule="auto"/>
        <w:jc w:val="both"/>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Las personas interesadas en participar en la licitación deben facilitar o indicar en el DEUC la información siguiente:</w:t>
      </w:r>
    </w:p>
    <w:p w:rsidR="004A6AD1" w:rsidRPr="00D47088" w:rsidRDefault="004A6AD1" w:rsidP="004A6AD1">
      <w:pPr>
        <w:suppressAutoHyphens/>
        <w:spacing w:after="0" w:line="240" w:lineRule="auto"/>
        <w:jc w:val="both"/>
        <w:rPr>
          <w:rFonts w:ascii="Verdana" w:eastAsia="Batang" w:hAnsi="Verdana" w:cstheme="minorHAnsi"/>
          <w:kern w:val="1"/>
          <w:sz w:val="20"/>
          <w:szCs w:val="20"/>
          <w:lang w:eastAsia="ar-SA"/>
        </w:rPr>
      </w:pPr>
    </w:p>
    <w:tbl>
      <w:tblPr>
        <w:tblW w:w="8447" w:type="dxa"/>
        <w:tblInd w:w="58" w:type="dxa"/>
        <w:tblCellMar>
          <w:left w:w="70" w:type="dxa"/>
          <w:right w:w="70" w:type="dxa"/>
        </w:tblCellMar>
        <w:tblLook w:val="0000" w:firstRow="0" w:lastRow="0" w:firstColumn="0" w:lastColumn="0" w:noHBand="0" w:noVBand="0"/>
      </w:tblPr>
      <w:tblGrid>
        <w:gridCol w:w="295"/>
        <w:gridCol w:w="259"/>
        <w:gridCol w:w="7893"/>
      </w:tblGrid>
      <w:tr w:rsidR="004A6AD1" w:rsidRPr="00D47088" w:rsidTr="004A6AD1">
        <w:trPr>
          <w:trHeight w:val="240"/>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jc w:val="center"/>
              <w:rPr>
                <w:rFonts w:ascii="Verdana" w:eastAsia="Batang" w:hAnsi="Verdana" w:cstheme="minorHAnsi"/>
                <w:b/>
                <w:bCs/>
                <w:kern w:val="1"/>
                <w:sz w:val="20"/>
                <w:szCs w:val="20"/>
                <w:lang w:eastAsia="ar-SA"/>
              </w:rPr>
            </w:pPr>
            <w:r w:rsidRPr="00D47088">
              <w:rPr>
                <w:rFonts w:ascii="Verdana" w:eastAsia="Batang" w:hAnsi="Verdana" w:cstheme="minorHAnsi"/>
                <w:b/>
                <w:bCs/>
                <w:kern w:val="1"/>
                <w:sz w:val="20"/>
                <w:szCs w:val="20"/>
                <w:lang w:eastAsia="ar-SA"/>
              </w:rPr>
              <w:t>ÍNDICE Y ESTRUCTURA DEL DOCUMENTO EUROPEO ÚNICO DE CONTRATACIÓN (DEUC)</w:t>
            </w:r>
          </w:p>
        </w:tc>
      </w:tr>
      <w:tr w:rsidR="004A6AD1" w:rsidRPr="00D47088" w:rsidTr="004A6AD1">
        <w:trPr>
          <w:trHeight w:val="228"/>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r>
      <w:tr w:rsidR="004A6AD1" w:rsidRPr="00D47088" w:rsidTr="004A6AD1">
        <w:trPr>
          <w:trHeight w:val="264"/>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b/>
                <w:bCs/>
                <w:kern w:val="1"/>
                <w:sz w:val="20"/>
                <w:szCs w:val="20"/>
                <w:lang w:eastAsia="ar-SA"/>
              </w:rPr>
            </w:pPr>
            <w:r w:rsidRPr="00D47088">
              <w:rPr>
                <w:rFonts w:ascii="Verdana" w:eastAsia="Batang" w:hAnsi="Verdana" w:cstheme="minorHAnsi"/>
                <w:b/>
                <w:bCs/>
                <w:kern w:val="1"/>
                <w:sz w:val="20"/>
                <w:szCs w:val="20"/>
                <w:lang w:eastAsia="ar-SA"/>
              </w:rPr>
              <w:t>PARTE I: INFORMACIÓN SOBRE EL PROCEDIMIENTO DE CONTRATACIÓN Y EL PODER ADJUDICADOR</w:t>
            </w:r>
          </w:p>
        </w:tc>
      </w:tr>
      <w:tr w:rsidR="004A6AD1" w:rsidRPr="00D47088" w:rsidTr="004A6AD1">
        <w:trPr>
          <w:trHeight w:val="468"/>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i/>
                <w:iCs/>
                <w:kern w:val="1"/>
                <w:sz w:val="20"/>
                <w:szCs w:val="20"/>
                <w:lang w:eastAsia="ar-SA"/>
              </w:rPr>
            </w:pPr>
            <w:r w:rsidRPr="00D47088">
              <w:rPr>
                <w:rFonts w:ascii="Verdana" w:eastAsia="Batang" w:hAnsi="Verdana" w:cstheme="minorHAnsi"/>
                <w:i/>
                <w:iCs/>
                <w:kern w:val="1"/>
                <w:sz w:val="20"/>
                <w:szCs w:val="20"/>
                <w:lang w:eastAsia="ar-SA"/>
              </w:rPr>
              <w:t>(Identificación del contrato y la entidad contratante; estos datos deben ser facilitados o puestos por el poder adjudicador)</w:t>
            </w:r>
          </w:p>
        </w:tc>
      </w:tr>
      <w:tr w:rsidR="004A6AD1" w:rsidRPr="00D47088" w:rsidTr="004A6AD1">
        <w:trPr>
          <w:trHeight w:val="228"/>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jc w:val="center"/>
              <w:rPr>
                <w:rFonts w:ascii="Verdana" w:eastAsia="Batang" w:hAnsi="Verdana" w:cstheme="minorHAnsi"/>
                <w:kern w:val="1"/>
                <w:sz w:val="20"/>
                <w:szCs w:val="20"/>
                <w:lang w:eastAsia="ar-SA"/>
              </w:rPr>
            </w:pPr>
          </w:p>
        </w:tc>
      </w:tr>
      <w:tr w:rsidR="004A6AD1" w:rsidRPr="00D47088" w:rsidTr="004A6AD1">
        <w:trPr>
          <w:trHeight w:val="264"/>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b/>
                <w:bCs/>
                <w:kern w:val="1"/>
                <w:sz w:val="20"/>
                <w:szCs w:val="20"/>
                <w:lang w:eastAsia="ar-SA"/>
              </w:rPr>
            </w:pPr>
            <w:r w:rsidRPr="00D47088">
              <w:rPr>
                <w:rFonts w:ascii="Verdana" w:eastAsia="Batang" w:hAnsi="Verdana" w:cstheme="minorHAnsi"/>
                <w:b/>
                <w:bCs/>
                <w:kern w:val="1"/>
                <w:sz w:val="20"/>
                <w:szCs w:val="20"/>
                <w:lang w:eastAsia="ar-SA"/>
              </w:rPr>
              <w:t>PARTE II: INFORMACIÓN SOBRE EL OPERADOR ECONÓMICO</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A</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INFORMACIÓN SOBRE EL OPERADOR ECONÓMICO</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Identificación</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Información general</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Forma de participación</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B</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INFORMACIÓN SOBRE LOS RERESENTANTES DEL OPERADOR ECONÓMICO</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Representación, en su caso (datos del representante)</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C</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INFORMACIÓN SOBRE EL RECURSO A LA CAPACIDAD DE OTRAS ENTIDADES</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Recurso (Sí o No)</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D</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INFORMACIÓN RELATIVA A LOS SUBCONTRATISTAS</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Subcontratación (Sí o No y, en caso afirmativo, indicación de los subcontratistas conocidos)</w:t>
            </w:r>
          </w:p>
        </w:tc>
      </w:tr>
      <w:tr w:rsidR="004A6AD1" w:rsidRPr="00D47088" w:rsidTr="004A6AD1">
        <w:trPr>
          <w:trHeight w:val="228"/>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jc w:val="center"/>
              <w:rPr>
                <w:rFonts w:ascii="Verdana" w:eastAsia="Batang" w:hAnsi="Verdana" w:cstheme="minorHAnsi"/>
                <w:kern w:val="1"/>
                <w:sz w:val="20"/>
                <w:szCs w:val="20"/>
                <w:lang w:eastAsia="ar-SA"/>
              </w:rPr>
            </w:pPr>
          </w:p>
        </w:tc>
      </w:tr>
      <w:tr w:rsidR="004A6AD1" w:rsidRPr="00D47088" w:rsidTr="004A6AD1">
        <w:trPr>
          <w:trHeight w:val="264"/>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b/>
                <w:bCs/>
                <w:kern w:val="1"/>
                <w:sz w:val="20"/>
                <w:szCs w:val="20"/>
                <w:lang w:eastAsia="ar-SA"/>
              </w:rPr>
            </w:pPr>
            <w:r w:rsidRPr="00D47088">
              <w:rPr>
                <w:rFonts w:ascii="Verdana" w:eastAsia="Batang" w:hAnsi="Verdana" w:cstheme="minorHAnsi"/>
                <w:b/>
                <w:bCs/>
                <w:kern w:val="1"/>
                <w:sz w:val="20"/>
                <w:szCs w:val="20"/>
                <w:lang w:eastAsia="ar-SA"/>
              </w:rPr>
              <w:t>PARTE III: MOTIVOS DE EXCLUSIÓN</w:t>
            </w:r>
          </w:p>
        </w:tc>
      </w:tr>
      <w:tr w:rsidR="004A6AD1" w:rsidRPr="00D47088" w:rsidTr="004A6AD1">
        <w:trPr>
          <w:trHeight w:val="684"/>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i/>
                <w:iCs/>
                <w:kern w:val="1"/>
                <w:sz w:val="20"/>
                <w:szCs w:val="20"/>
                <w:lang w:eastAsia="ar-SA"/>
              </w:rPr>
            </w:pPr>
            <w:r w:rsidRPr="00D47088">
              <w:rPr>
                <w:rFonts w:ascii="Verdana" w:eastAsia="Batang" w:hAnsi="Verdana" w:cstheme="minorHAnsi"/>
                <w:i/>
                <w:iCs/>
                <w:kern w:val="1"/>
                <w:sz w:val="20"/>
                <w:szCs w:val="20"/>
                <w:lang w:eastAsia="ar-SA"/>
              </w:rPr>
              <w:t>(en el servicio electrónico DEUC los campos de los apartados A, B y C de esta parte vienen por defecto con el valor 'No' y tienen la utilidad de que el operador pueda comprobar que no se encuentra en causa de prohibición de contratar o que, en caso de encontrarse en alguna, puede justificar la excepción)</w:t>
            </w:r>
          </w:p>
        </w:tc>
      </w:tr>
      <w:tr w:rsidR="004A6AD1" w:rsidRPr="00D47088" w:rsidTr="004A6AD1">
        <w:trPr>
          <w:trHeight w:val="252"/>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A</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 xml:space="preserve">MOTIVOS REFERIDOS A CONDENAS PENALES  </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Motivos referidos a condenas penales (…) establecidos en el art. 57, apartado 1, de la Directiva</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B</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MOTIVOS REFERIDOS AL PAGO DE IMPUESTOS O DE COTIZACIONES A LA SEG. SOCIAL</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Pago de impuestos o de cotizaciones a la Seguridad Social ( declara cumplimiento de obligaciones)</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C</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MOTIVOS REFERIDOS A LA INSOLVENCIA, LOS CONFLICTOS DE INTERESES O LA FALTA PROFESIONAL</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Información relativa a toda posible insolvencia, conflicto de intereses o falta profesional</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lastRenderedPageBreak/>
              <w:t>D</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OTROS MOTIVOS DE EXCLUSÍÓN QUE ESTÉN PREVISTOS EN LA LEGISLACIÓN NACIONAL</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Motivos de exclusión puramente nacionales (si los hay, declaración al respecto)</w:t>
            </w:r>
          </w:p>
        </w:tc>
      </w:tr>
      <w:tr w:rsidR="004A6AD1" w:rsidRPr="00D47088" w:rsidTr="004A6AD1">
        <w:trPr>
          <w:trHeight w:val="228"/>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jc w:val="center"/>
              <w:rPr>
                <w:rFonts w:ascii="Verdana" w:eastAsia="Batang" w:hAnsi="Verdana" w:cstheme="minorHAnsi"/>
                <w:kern w:val="1"/>
                <w:sz w:val="20"/>
                <w:szCs w:val="20"/>
                <w:lang w:eastAsia="ar-SA"/>
              </w:rPr>
            </w:pPr>
          </w:p>
        </w:tc>
      </w:tr>
      <w:tr w:rsidR="004A6AD1" w:rsidRPr="00D47088" w:rsidTr="004A6AD1">
        <w:trPr>
          <w:trHeight w:val="264"/>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b/>
                <w:bCs/>
                <w:kern w:val="1"/>
                <w:sz w:val="20"/>
                <w:szCs w:val="20"/>
                <w:lang w:eastAsia="ar-SA"/>
              </w:rPr>
            </w:pPr>
            <w:r w:rsidRPr="00D47088">
              <w:rPr>
                <w:rFonts w:ascii="Verdana" w:eastAsia="Batang" w:hAnsi="Verdana" w:cstheme="minorHAnsi"/>
                <w:b/>
                <w:bCs/>
                <w:kern w:val="1"/>
                <w:sz w:val="20"/>
                <w:szCs w:val="20"/>
                <w:lang w:eastAsia="ar-SA"/>
              </w:rPr>
              <w:t>PARTE IV: CRITERIOS DE SELECCIÓN</w:t>
            </w:r>
          </w:p>
        </w:tc>
      </w:tr>
      <w:tr w:rsidR="004A6AD1" w:rsidRPr="00D47088" w:rsidTr="004A6AD1">
        <w:trPr>
          <w:trHeight w:val="228"/>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i/>
                <w:iCs/>
                <w:kern w:val="1"/>
                <w:sz w:val="20"/>
                <w:szCs w:val="20"/>
                <w:lang w:eastAsia="ar-SA"/>
              </w:rPr>
            </w:pPr>
            <w:r w:rsidRPr="00D47088">
              <w:rPr>
                <w:rFonts w:ascii="Verdana" w:eastAsia="Batang" w:hAnsi="Verdana" w:cstheme="minorHAnsi"/>
                <w:i/>
                <w:iCs/>
                <w:kern w:val="1"/>
                <w:sz w:val="20"/>
                <w:szCs w:val="20"/>
                <w:lang w:eastAsia="ar-SA"/>
              </w:rPr>
              <w:t xml:space="preserve">ALTERNATIVA 1: El poder adjudicador sólo exige la declaración global </w:t>
            </w:r>
            <w:r w:rsidRPr="00D47088">
              <w:rPr>
                <w:rFonts w:ascii="Verdana" w:eastAsia="Batang" w:hAnsi="Verdana" w:cstheme="minorHAnsi"/>
                <w:b/>
                <w:bCs/>
                <w:i/>
                <w:iCs/>
                <w:kern w:val="1"/>
                <w:sz w:val="20"/>
                <w:szCs w:val="20"/>
                <w:lang w:eastAsia="ar-SA"/>
              </w:rPr>
              <w:t>α</w:t>
            </w:r>
            <w:r w:rsidRPr="00D47088">
              <w:rPr>
                <w:rFonts w:ascii="Verdana" w:eastAsia="Batang" w:hAnsi="Verdana" w:cstheme="minorHAnsi"/>
                <w:i/>
                <w:iCs/>
                <w:kern w:val="1"/>
                <w:sz w:val="20"/>
                <w:szCs w:val="20"/>
                <w:lang w:eastAsia="ar-SA"/>
              </w:rPr>
              <w:t xml:space="preserve"> de cumplimiento de los criterios</w:t>
            </w:r>
          </w:p>
        </w:tc>
      </w:tr>
      <w:tr w:rsidR="004A6AD1" w:rsidRPr="00D47088" w:rsidTr="004A6AD1">
        <w:trPr>
          <w:trHeight w:val="300"/>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α</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INDICACIÓN BLOBAL DE CUMPLIMIENTO DE TODOS LOS CRITERIOS DE SELECCIÓN</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Cumplimiento de todos los criterios de selección (Sí o No)</w:t>
            </w:r>
          </w:p>
        </w:tc>
      </w:tr>
      <w:tr w:rsidR="004A6AD1" w:rsidRPr="00D47088" w:rsidTr="004A6AD1">
        <w:trPr>
          <w:trHeight w:val="312"/>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i/>
                <w:iCs/>
                <w:kern w:val="1"/>
                <w:sz w:val="20"/>
                <w:szCs w:val="20"/>
                <w:lang w:eastAsia="ar-SA"/>
              </w:rPr>
            </w:pPr>
            <w:r w:rsidRPr="00D47088">
              <w:rPr>
                <w:rFonts w:ascii="Verdana" w:eastAsia="Batang" w:hAnsi="Verdana" w:cstheme="minorHAnsi"/>
                <w:i/>
                <w:iCs/>
                <w:kern w:val="1"/>
                <w:sz w:val="20"/>
                <w:szCs w:val="20"/>
                <w:lang w:eastAsia="ar-SA"/>
              </w:rPr>
              <w:t>ALTERNATIVA 2: El poder adjudicador exige la declaración de cumplimiento de los criterios específicamente</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A</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IDONEIDAD</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Idoneidad (información referida a la inscripción en el Registro Mercantil u oficial o disponibilidad de habilitantes)</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B</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SOLVENCIA ECONÓMICA Y FINANCIERA</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Solvencia económica y financiera (datos a facilitar según las indicaciones del pliego, anuncio o invitación)</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C</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CAPACIDAD TÉCNICA Y PROFESIONAL</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Capacidad técnica y profesional (datos a facilitar según las indicaciones del pliego, anuncio o invitación)</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D</w:t>
            </w: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SISTEMAS DE ASEGURAMIENTO DE LA CALIDAD Y NORMAS DE GESTIÓN MEDIOAMBIENTAL</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Sistemas de aseguramiento de la calidad y normas de gestión medioambiental</w:t>
            </w:r>
          </w:p>
        </w:tc>
      </w:tr>
      <w:tr w:rsidR="004A6AD1" w:rsidRPr="00D47088" w:rsidTr="004A6AD1">
        <w:trPr>
          <w:trHeight w:val="228"/>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jc w:val="center"/>
              <w:rPr>
                <w:rFonts w:ascii="Verdana" w:eastAsia="Batang" w:hAnsi="Verdana" w:cstheme="minorHAnsi"/>
                <w:kern w:val="1"/>
                <w:sz w:val="20"/>
                <w:szCs w:val="20"/>
                <w:lang w:eastAsia="ar-SA"/>
              </w:rPr>
            </w:pPr>
          </w:p>
        </w:tc>
      </w:tr>
      <w:tr w:rsidR="004A6AD1" w:rsidRPr="00D47088" w:rsidTr="004A6AD1">
        <w:trPr>
          <w:trHeight w:val="240"/>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b/>
                <w:bCs/>
                <w:kern w:val="1"/>
                <w:sz w:val="20"/>
                <w:szCs w:val="20"/>
                <w:lang w:eastAsia="ar-SA"/>
              </w:rPr>
            </w:pPr>
            <w:r w:rsidRPr="00D47088">
              <w:rPr>
                <w:rFonts w:ascii="Verdana" w:eastAsia="Batang" w:hAnsi="Verdana" w:cstheme="minorHAnsi"/>
                <w:b/>
                <w:bCs/>
                <w:kern w:val="1"/>
                <w:sz w:val="20"/>
                <w:szCs w:val="20"/>
                <w:lang w:eastAsia="ar-SA"/>
              </w:rPr>
              <w:t>PARTE V: REDUCCIÓN DEL NÚMERO DE CANDIDATOS CUALIFICADOS</w:t>
            </w:r>
          </w:p>
        </w:tc>
      </w:tr>
      <w:tr w:rsidR="004A6AD1" w:rsidRPr="00D47088" w:rsidTr="004A6AD1">
        <w:trPr>
          <w:trHeight w:val="480"/>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i/>
                <w:iCs/>
                <w:kern w:val="1"/>
                <w:sz w:val="20"/>
                <w:szCs w:val="20"/>
                <w:lang w:eastAsia="ar-SA"/>
              </w:rPr>
            </w:pPr>
            <w:r w:rsidRPr="00D47088">
              <w:rPr>
                <w:rFonts w:ascii="Verdana" w:eastAsia="Batang" w:hAnsi="Verdana" w:cstheme="minorHAnsi"/>
                <w:i/>
                <w:iCs/>
                <w:kern w:val="1"/>
                <w:sz w:val="20"/>
                <w:szCs w:val="20"/>
                <w:lang w:eastAsia="ar-SA"/>
              </w:rPr>
              <w:t>(sólo en procedimientos restringidos, de licitación con negociación, de diálogo competitivo y de asociación para la innovación)</w:t>
            </w:r>
          </w:p>
        </w:tc>
      </w:tr>
      <w:tr w:rsidR="004A6AD1" w:rsidRPr="00D47088" w:rsidTr="004A6AD1">
        <w:trPr>
          <w:trHeight w:val="228"/>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(Declaración sobre el cumplimiento de los criterios objetivos para limitar el número de candidatos)</w:t>
            </w:r>
          </w:p>
        </w:tc>
      </w:tr>
      <w:tr w:rsidR="004A6AD1" w:rsidRPr="00D47088" w:rsidTr="004A6AD1">
        <w:trPr>
          <w:trHeight w:val="228"/>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jc w:val="center"/>
              <w:rPr>
                <w:rFonts w:ascii="Verdana" w:eastAsia="Batang" w:hAnsi="Verdana" w:cstheme="minorHAnsi"/>
                <w:kern w:val="1"/>
                <w:sz w:val="20"/>
                <w:szCs w:val="20"/>
                <w:lang w:eastAsia="ar-SA"/>
              </w:rPr>
            </w:pPr>
          </w:p>
        </w:tc>
      </w:tr>
      <w:tr w:rsidR="004A6AD1" w:rsidRPr="00D47088" w:rsidTr="004A6AD1">
        <w:trPr>
          <w:trHeight w:val="240"/>
        </w:trPr>
        <w:tc>
          <w:tcPr>
            <w:tcW w:w="8447" w:type="dxa"/>
            <w:gridSpan w:val="3"/>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b/>
                <w:bCs/>
                <w:kern w:val="1"/>
                <w:sz w:val="20"/>
                <w:szCs w:val="20"/>
                <w:lang w:eastAsia="ar-SA"/>
              </w:rPr>
            </w:pPr>
            <w:r w:rsidRPr="00D47088">
              <w:rPr>
                <w:rFonts w:ascii="Verdana" w:eastAsia="Batang" w:hAnsi="Verdana" w:cstheme="minorHAnsi"/>
                <w:b/>
                <w:bCs/>
                <w:kern w:val="1"/>
                <w:sz w:val="20"/>
                <w:szCs w:val="20"/>
                <w:lang w:eastAsia="ar-SA"/>
              </w:rPr>
              <w:t>PARTE VI: DECLARACIONES FINALES</w:t>
            </w:r>
          </w:p>
        </w:tc>
      </w:tr>
      <w:tr w:rsidR="004A6AD1" w:rsidRPr="00D47088" w:rsidTr="004A6AD1">
        <w:trPr>
          <w:trHeight w:val="456"/>
        </w:trPr>
        <w:tc>
          <w:tcPr>
            <w:tcW w:w="295"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259"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rPr>
                <w:rFonts w:ascii="Verdana" w:eastAsia="Batang" w:hAnsi="Verdana" w:cstheme="minorHAnsi"/>
                <w:kern w:val="1"/>
                <w:sz w:val="20"/>
                <w:szCs w:val="20"/>
                <w:lang w:eastAsia="ar-SA"/>
              </w:rPr>
            </w:pPr>
          </w:p>
        </w:tc>
        <w:tc>
          <w:tcPr>
            <w:tcW w:w="7893" w:type="dxa"/>
            <w:tcBorders>
              <w:top w:val="nil"/>
              <w:left w:val="nil"/>
              <w:bottom w:val="nil"/>
              <w:right w:val="nil"/>
            </w:tcBorders>
            <w:shd w:val="clear" w:color="auto" w:fill="auto"/>
            <w:vAlign w:val="bottom"/>
          </w:tcPr>
          <w:p w:rsidR="004A6AD1" w:rsidRPr="00D47088" w:rsidRDefault="004A6AD1" w:rsidP="00BA01C7">
            <w:pPr>
              <w:suppressAutoHyphens/>
              <w:spacing w:after="0" w:line="240" w:lineRule="auto"/>
              <w:jc w:val="both"/>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Consígnese el lugar y la fecha y fírmese por la persona con poder bastante de representación de la empresa licitadora. En el supuesto de que no desee estar obligada a presentar documentos justificativos de algún dato de los declarados cuando así se le solicite, debe incluir en la declaración de esta parte su consentimiento expreso para que la administración contratante pueda obtener de los registros que lo acrediten gratuitamente los certificados o la información pertinente, indicando la parte/sección/punto del DEUC cuya información puede ser comprobada de ese modo por la administración contratante a efectos del presente procedimiento de contratación (véase en el Reglamento UE 2016/7 el último párrafo de esta parte del formulario del DEUC y sustitúyanse las indicaciones entre corchetes por lo que corresponda)</w:t>
            </w:r>
          </w:p>
          <w:p w:rsidR="004A6AD1" w:rsidRPr="00D47088" w:rsidRDefault="004A6AD1" w:rsidP="00BA01C7">
            <w:pPr>
              <w:suppressAutoHyphens/>
              <w:spacing w:after="0" w:line="240" w:lineRule="auto"/>
              <w:jc w:val="both"/>
              <w:rPr>
                <w:rFonts w:ascii="Verdana" w:eastAsia="Batang" w:hAnsi="Verdana" w:cstheme="minorHAnsi"/>
                <w:kern w:val="1"/>
                <w:sz w:val="20"/>
                <w:szCs w:val="20"/>
                <w:lang w:eastAsia="ar-SA"/>
              </w:rPr>
            </w:pPr>
            <w:r w:rsidRPr="00D47088">
              <w:rPr>
                <w:rFonts w:ascii="Verdana" w:eastAsia="Batang" w:hAnsi="Verdana" w:cstheme="minorHAnsi"/>
                <w:kern w:val="1"/>
                <w:sz w:val="20"/>
                <w:szCs w:val="20"/>
                <w:lang w:eastAsia="ar-SA"/>
              </w:rPr>
              <w:t>(declaración responsable de veracidad y disponibilidad de documentos acreditativos de la información facilitada, y consentimiento de acceso a la misma por el poder adjudicador)</w:t>
            </w:r>
          </w:p>
        </w:tc>
      </w:tr>
    </w:tbl>
    <w:p w:rsidR="004A6AD1" w:rsidRPr="00D47088" w:rsidRDefault="004A6AD1" w:rsidP="004A6AD1">
      <w:pPr>
        <w:suppressAutoHyphens/>
        <w:spacing w:after="0" w:line="240" w:lineRule="auto"/>
        <w:ind w:right="11"/>
        <w:rPr>
          <w:rFonts w:ascii="Verdana" w:eastAsia="Batang" w:hAnsi="Verdana" w:cstheme="minorHAnsi"/>
          <w:b/>
          <w:kern w:val="1"/>
          <w:sz w:val="20"/>
          <w:szCs w:val="20"/>
          <w:u w:val="single"/>
          <w:lang w:eastAsia="ar-SA"/>
        </w:rPr>
      </w:pPr>
    </w:p>
    <w:p w:rsidR="004A6AD1" w:rsidRPr="00D47088" w:rsidRDefault="004A6AD1" w:rsidP="004A6AD1">
      <w:pPr>
        <w:spacing w:after="0"/>
        <w:rPr>
          <w:rFonts w:ascii="Verdana" w:hAnsi="Verdana" w:cstheme="minorHAnsi"/>
          <w:sz w:val="20"/>
          <w:szCs w:val="20"/>
        </w:rPr>
      </w:pPr>
    </w:p>
    <w:sectPr w:rsidR="004A6AD1" w:rsidRPr="00D4708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E0" w:rsidRDefault="00F011E0" w:rsidP="00B25C29">
      <w:pPr>
        <w:spacing w:after="0" w:line="240" w:lineRule="auto"/>
      </w:pPr>
      <w:r>
        <w:separator/>
      </w:r>
    </w:p>
  </w:endnote>
  <w:endnote w:type="continuationSeparator" w:id="0">
    <w:p w:rsidR="00F011E0" w:rsidRDefault="00F011E0" w:rsidP="00B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E0" w:rsidRDefault="00F011E0" w:rsidP="00B25C29">
      <w:pPr>
        <w:spacing w:after="0" w:line="240" w:lineRule="auto"/>
      </w:pPr>
      <w:r>
        <w:separator/>
      </w:r>
    </w:p>
  </w:footnote>
  <w:footnote w:type="continuationSeparator" w:id="0">
    <w:p w:rsidR="00F011E0" w:rsidRDefault="00F011E0" w:rsidP="00B2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jc w:val="center"/>
      <w:tblBorders>
        <w:insideH w:val="single" w:sz="4" w:space="0" w:color="auto"/>
      </w:tblBorders>
      <w:tblLook w:val="04A0" w:firstRow="1" w:lastRow="0" w:firstColumn="1" w:lastColumn="0" w:noHBand="0" w:noVBand="1"/>
    </w:tblPr>
    <w:tblGrid>
      <w:gridCol w:w="3126"/>
      <w:gridCol w:w="2175"/>
      <w:gridCol w:w="4333"/>
    </w:tblGrid>
    <w:tr w:rsidR="00B25C29" w:rsidRPr="003B645E" w:rsidTr="00BA01C7">
      <w:trPr>
        <w:jc w:val="center"/>
      </w:trPr>
      <w:tc>
        <w:tcPr>
          <w:tcW w:w="2988" w:type="dxa"/>
          <w:shd w:val="clear" w:color="auto" w:fill="auto"/>
          <w:vAlign w:val="center"/>
        </w:tcPr>
        <w:p w:rsidR="00B25C29" w:rsidRPr="003B645E" w:rsidRDefault="00B25C29" w:rsidP="00B25C29">
          <w:pPr>
            <w:tabs>
              <w:tab w:val="right" w:pos="9353"/>
            </w:tabs>
            <w:autoSpaceDN w:val="0"/>
            <w:textAlignment w:val="baseline"/>
            <w:rPr>
              <w:rFonts w:eastAsia="Times New Roman"/>
              <w:noProof/>
              <w:kern w:val="3"/>
              <w:sz w:val="24"/>
              <w:szCs w:val="24"/>
              <w:lang w:eastAsia="zh-CN"/>
            </w:rPr>
          </w:pPr>
          <w:r w:rsidRPr="003B645E">
            <w:rPr>
              <w:rFonts w:ascii="Calibri" w:eastAsia="Times New Roman" w:hAnsi="Calibri"/>
              <w:noProof/>
              <w:kern w:val="3"/>
              <w:sz w:val="24"/>
              <w:szCs w:val="24"/>
              <w:lang w:eastAsia="es-ES"/>
            </w:rPr>
            <w:drawing>
              <wp:anchor distT="0" distB="0" distL="114300" distR="114300" simplePos="0" relativeHeight="251661312" behindDoc="1" locked="0" layoutInCell="1" allowOverlap="1" wp14:anchorId="4B846B56" wp14:editId="3216981C">
                <wp:simplePos x="0" y="0"/>
                <wp:positionH relativeFrom="column">
                  <wp:posOffset>0</wp:posOffset>
                </wp:positionH>
                <wp:positionV relativeFrom="paragraph">
                  <wp:posOffset>-393700</wp:posOffset>
                </wp:positionV>
                <wp:extent cx="1841500" cy="901700"/>
                <wp:effectExtent l="0" t="0" r="6350" b="0"/>
                <wp:wrapTight wrapText="bothSides">
                  <wp:wrapPolygon edited="0">
                    <wp:start x="0" y="0"/>
                    <wp:lineTo x="0" y="20992"/>
                    <wp:lineTo x="21451" y="20992"/>
                    <wp:lineTo x="214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067" t="18941" r="9279" b="17311"/>
                        <a:stretch>
                          <a:fillRect/>
                        </a:stretch>
                      </pic:blipFill>
                      <pic:spPr bwMode="auto">
                        <a:xfrm>
                          <a:off x="0" y="0"/>
                          <a:ext cx="184150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2" w:type="dxa"/>
          <w:shd w:val="clear" w:color="auto" w:fill="auto"/>
          <w:vAlign w:val="center"/>
          <w:hideMark/>
        </w:tcPr>
        <w:p w:rsidR="00B25C29" w:rsidRPr="003B645E" w:rsidRDefault="00B25C29" w:rsidP="00B25C29">
          <w:pPr>
            <w:tabs>
              <w:tab w:val="right" w:pos="9353"/>
            </w:tabs>
            <w:autoSpaceDN w:val="0"/>
            <w:ind w:right="-462"/>
            <w:jc w:val="center"/>
            <w:textAlignment w:val="baseline"/>
            <w:rPr>
              <w:rFonts w:eastAsia="Times New Roman"/>
              <w:noProof/>
              <w:kern w:val="3"/>
              <w:sz w:val="24"/>
              <w:szCs w:val="24"/>
              <w:lang w:eastAsia="zh-CN"/>
            </w:rPr>
          </w:pPr>
        </w:p>
      </w:tc>
      <w:tc>
        <w:tcPr>
          <w:tcW w:w="4394" w:type="dxa"/>
          <w:shd w:val="clear" w:color="auto" w:fill="auto"/>
          <w:vAlign w:val="center"/>
        </w:tcPr>
        <w:p w:rsidR="00B25C29" w:rsidRPr="003B645E" w:rsidRDefault="00B25C29" w:rsidP="00B25C29">
          <w:pPr>
            <w:tabs>
              <w:tab w:val="right" w:pos="9353"/>
            </w:tabs>
            <w:autoSpaceDN w:val="0"/>
            <w:textAlignment w:val="baseline"/>
            <w:rPr>
              <w:rFonts w:eastAsia="Times New Roman"/>
              <w:noProof/>
              <w:kern w:val="3"/>
              <w:sz w:val="24"/>
              <w:szCs w:val="24"/>
              <w:lang w:eastAsia="zh-CN"/>
            </w:rPr>
          </w:pPr>
        </w:p>
        <w:p w:rsidR="00B25C29" w:rsidRPr="003B645E" w:rsidRDefault="00B25C29" w:rsidP="00B25C29">
          <w:pPr>
            <w:tabs>
              <w:tab w:val="right" w:pos="9353"/>
            </w:tabs>
            <w:autoSpaceDN w:val="0"/>
            <w:jc w:val="right"/>
            <w:textAlignment w:val="baseline"/>
            <w:rPr>
              <w:rFonts w:eastAsia="Times New Roman"/>
              <w:noProof/>
              <w:kern w:val="3"/>
              <w:sz w:val="24"/>
              <w:szCs w:val="24"/>
              <w:lang w:eastAsia="zh-CN"/>
            </w:rPr>
          </w:pPr>
          <w:r w:rsidRPr="0031397F">
            <w:rPr>
              <w:rFonts w:ascii="Verdana" w:eastAsia="Calibri" w:hAnsi="Verdana" w:cs="Times New Roman"/>
              <w:noProof/>
              <w:sz w:val="20"/>
              <w:lang w:eastAsia="es-ES"/>
            </w:rPr>
            <w:drawing>
              <wp:anchor distT="0" distB="0" distL="114300" distR="114300" simplePos="0" relativeHeight="251659264" behindDoc="1" locked="0" layoutInCell="1" allowOverlap="1" wp14:anchorId="467C4DDA" wp14:editId="29C37CFD">
                <wp:simplePos x="0" y="0"/>
                <wp:positionH relativeFrom="column">
                  <wp:posOffset>481330</wp:posOffset>
                </wp:positionH>
                <wp:positionV relativeFrom="paragraph">
                  <wp:posOffset>-280670</wp:posOffset>
                </wp:positionV>
                <wp:extent cx="1637030" cy="988695"/>
                <wp:effectExtent l="0" t="0" r="1270" b="1905"/>
                <wp:wrapTight wrapText="bothSides">
                  <wp:wrapPolygon edited="0">
                    <wp:start x="0" y="0"/>
                    <wp:lineTo x="0" y="21225"/>
                    <wp:lineTo x="21365" y="21225"/>
                    <wp:lineTo x="21365" y="0"/>
                    <wp:lineTo x="0" y="0"/>
                  </wp:wrapPolygon>
                </wp:wrapTight>
                <wp:docPr id="1" name="Imagen 1" descr="L:\ISABIAL\NUEVA FUNDACION\LOGO\Ficheros logo\ISABIAL LOGO entrega-01.jpg"/>
                <wp:cNvGraphicFramePr/>
                <a:graphic xmlns:a="http://schemas.openxmlformats.org/drawingml/2006/main">
                  <a:graphicData uri="http://schemas.openxmlformats.org/drawingml/2006/picture">
                    <pic:pic xmlns:pic="http://schemas.openxmlformats.org/drawingml/2006/picture">
                      <pic:nvPicPr>
                        <pic:cNvPr id="76" name="Imagen 76" descr="L:\ISABIAL\NUEVA FUNDACION\LOGO\Ficheros logo\ISABIAL LOGO entrega-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03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C29" w:rsidRPr="003B645E" w:rsidRDefault="00B25C29" w:rsidP="00B25C29">
          <w:pPr>
            <w:tabs>
              <w:tab w:val="right" w:pos="9353"/>
            </w:tabs>
            <w:autoSpaceDN w:val="0"/>
            <w:ind w:right="-723"/>
            <w:jc w:val="right"/>
            <w:textAlignment w:val="baseline"/>
            <w:rPr>
              <w:rFonts w:eastAsia="Times New Roman"/>
              <w:noProof/>
              <w:kern w:val="3"/>
              <w:sz w:val="24"/>
              <w:szCs w:val="24"/>
              <w:lang w:eastAsia="zh-CN"/>
            </w:rPr>
          </w:pPr>
        </w:p>
        <w:p w:rsidR="00B25C29" w:rsidRPr="003B645E" w:rsidRDefault="00B25C29" w:rsidP="00B25C29">
          <w:pPr>
            <w:tabs>
              <w:tab w:val="right" w:pos="9353"/>
            </w:tabs>
            <w:autoSpaceDN w:val="0"/>
            <w:textAlignment w:val="baseline"/>
            <w:rPr>
              <w:rFonts w:eastAsia="Times New Roman"/>
              <w:noProof/>
              <w:kern w:val="3"/>
              <w:sz w:val="24"/>
              <w:szCs w:val="24"/>
              <w:lang w:eastAsia="zh-CN"/>
            </w:rPr>
          </w:pPr>
        </w:p>
      </w:tc>
    </w:tr>
  </w:tbl>
  <w:p w:rsidR="00B25C29" w:rsidRDefault="00B25C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D8"/>
    <w:rsid w:val="00242433"/>
    <w:rsid w:val="004902E6"/>
    <w:rsid w:val="004A6AD1"/>
    <w:rsid w:val="006E4911"/>
    <w:rsid w:val="008D3D7A"/>
    <w:rsid w:val="00901BD9"/>
    <w:rsid w:val="00B25C29"/>
    <w:rsid w:val="00E17FD8"/>
    <w:rsid w:val="00E26100"/>
    <w:rsid w:val="00EA0894"/>
    <w:rsid w:val="00F011E0"/>
    <w:rsid w:val="00F94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5C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5C29"/>
  </w:style>
  <w:style w:type="paragraph" w:styleId="Piedepgina">
    <w:name w:val="footer"/>
    <w:basedOn w:val="Normal"/>
    <w:link w:val="PiedepginaCar"/>
    <w:uiPriority w:val="99"/>
    <w:unhideWhenUsed/>
    <w:rsid w:val="00B25C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5C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5C29"/>
  </w:style>
  <w:style w:type="paragraph" w:styleId="Piedepgina">
    <w:name w:val="footer"/>
    <w:basedOn w:val="Normal"/>
    <w:link w:val="PiedepginaCar"/>
    <w:uiPriority w:val="99"/>
    <w:unhideWhenUsed/>
    <w:rsid w:val="00B25C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ORDIÑANA GIL</dc:creator>
  <cp:lastModifiedBy>CARLA ORDIÑANA GIL</cp:lastModifiedBy>
  <cp:revision>4</cp:revision>
  <dcterms:created xsi:type="dcterms:W3CDTF">2020-07-01T08:28:00Z</dcterms:created>
  <dcterms:modified xsi:type="dcterms:W3CDTF">2020-07-16T05:14:00Z</dcterms:modified>
</cp:coreProperties>
</file>